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FE" w:rsidRPr="00A73FEA" w:rsidRDefault="00F01FFE" w:rsidP="00F01FFE">
      <w:pPr>
        <w:spacing w:after="0"/>
        <w:jc w:val="center"/>
        <w:rPr>
          <w:rFonts w:ascii="Tw Cen MT" w:hAnsi="Tw Cen MT"/>
          <w:sz w:val="144"/>
          <w:szCs w:val="144"/>
        </w:rPr>
      </w:pPr>
      <w:bookmarkStart w:id="0" w:name="_GoBack"/>
      <w:bookmarkEnd w:id="0"/>
      <w:r w:rsidRPr="00A73FEA">
        <w:rPr>
          <w:rFonts w:ascii="Tw Cen MT" w:hAnsi="Tw Cen MT"/>
          <w:sz w:val="144"/>
          <w:szCs w:val="144"/>
        </w:rPr>
        <w:t>Containment</w:t>
      </w:r>
    </w:p>
    <w:p w:rsidR="00F01FFE" w:rsidRPr="00F01FFE" w:rsidRDefault="00F01FFE" w:rsidP="00F01FFE">
      <w:pPr>
        <w:spacing w:after="0"/>
        <w:jc w:val="center"/>
        <w:rPr>
          <w:rFonts w:ascii="Tw Cen MT" w:hAnsi="Tw Cen MT"/>
          <w:sz w:val="48"/>
          <w:szCs w:val="48"/>
        </w:rPr>
      </w:pPr>
      <w:r w:rsidRPr="00F01FFE">
        <w:rPr>
          <w:rFonts w:ascii="Tw Cen MT" w:hAnsi="Tw Cen MT"/>
          <w:sz w:val="48"/>
          <w:szCs w:val="48"/>
        </w:rPr>
        <w:t>The Early Cold War, 1945-1963</w:t>
      </w:r>
    </w:p>
    <w:p w:rsidR="002E725A" w:rsidRPr="00F01FFE" w:rsidRDefault="002E725A" w:rsidP="00F01FFE">
      <w:pPr>
        <w:spacing w:after="0"/>
        <w:jc w:val="center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Superpowers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Israel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The Iron Curtain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Germany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Establishing U.S. Cold War Policy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Post-WWII Japan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2E725A">
            <w:pPr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Chinese Civil War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Korean War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lastRenderedPageBreak/>
              <w:t>Early Vietnam Conflict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Non-Aligned Movement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F01FFE" w:rsidTr="00F01FFE">
        <w:tc>
          <w:tcPr>
            <w:tcW w:w="4788" w:type="dxa"/>
            <w:shd w:val="clear" w:color="auto" w:fill="000000" w:themeFill="text1"/>
          </w:tcPr>
          <w:p w:rsidR="00F01FFE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The Middle East</w:t>
            </w:r>
          </w:p>
        </w:tc>
        <w:tc>
          <w:tcPr>
            <w:tcW w:w="4788" w:type="dxa"/>
            <w:shd w:val="clear" w:color="auto" w:fill="000000" w:themeFill="text1"/>
          </w:tcPr>
          <w:p w:rsidR="00F01FFE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Nuclear Arms Race</w:t>
            </w:r>
          </w:p>
        </w:tc>
      </w:tr>
      <w:tr w:rsidR="00F01FFE" w:rsidTr="00F01FFE">
        <w:tc>
          <w:tcPr>
            <w:tcW w:w="4788" w:type="dxa"/>
          </w:tcPr>
          <w:p w:rsidR="00F01FFE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F01FFE" w:rsidRPr="002E725A" w:rsidRDefault="00F01FFE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2E725A" w:rsidTr="002E725A">
        <w:tc>
          <w:tcPr>
            <w:tcW w:w="4788" w:type="dxa"/>
            <w:shd w:val="clear" w:color="auto" w:fill="000000" w:themeFill="text1"/>
          </w:tcPr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>Cuba</w:t>
            </w:r>
          </w:p>
        </w:tc>
        <w:tc>
          <w:tcPr>
            <w:tcW w:w="4788" w:type="dxa"/>
            <w:shd w:val="clear" w:color="auto" w:fill="000000" w:themeFill="text1"/>
          </w:tcPr>
          <w:p w:rsidR="002E725A" w:rsidRPr="002E725A" w:rsidRDefault="002E725A" w:rsidP="002E725A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2E725A">
              <w:rPr>
                <w:rFonts w:ascii="Tw Cen MT" w:hAnsi="Tw Cen MT"/>
                <w:sz w:val="32"/>
                <w:szCs w:val="32"/>
              </w:rPr>
              <w:t xml:space="preserve">“Fallout” </w:t>
            </w:r>
            <w:r>
              <w:rPr>
                <w:rFonts w:ascii="Tw Cen MT" w:hAnsi="Tw Cen MT"/>
                <w:sz w:val="32"/>
                <w:szCs w:val="32"/>
              </w:rPr>
              <w:t>of</w:t>
            </w:r>
            <w:r w:rsidRPr="002E725A">
              <w:rPr>
                <w:rFonts w:ascii="Tw Cen MT" w:hAnsi="Tw Cen MT"/>
                <w:sz w:val="32"/>
                <w:szCs w:val="32"/>
              </w:rPr>
              <w:t xml:space="preserve"> the Cuban Missile Crisis</w:t>
            </w:r>
          </w:p>
        </w:tc>
      </w:tr>
      <w:tr w:rsidR="002E725A" w:rsidTr="00F01FFE">
        <w:tc>
          <w:tcPr>
            <w:tcW w:w="4788" w:type="dxa"/>
          </w:tcPr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4788" w:type="dxa"/>
          </w:tcPr>
          <w:p w:rsidR="002E725A" w:rsidRPr="002E725A" w:rsidRDefault="002E725A" w:rsidP="00F01FFE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</w:tbl>
    <w:p w:rsidR="00F01FFE" w:rsidRDefault="00F01FFE" w:rsidP="00F01FFE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A73FEA" w:rsidRPr="00F01FFE" w:rsidRDefault="00A73FEA" w:rsidP="00F01FFE">
      <w:pPr>
        <w:spacing w:after="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>
            <wp:extent cx="5943600" cy="318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-war-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FEA" w:rsidRPr="00F01FFE" w:rsidSect="002E725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E"/>
    <w:rsid w:val="002E725A"/>
    <w:rsid w:val="0054464A"/>
    <w:rsid w:val="00545F7D"/>
    <w:rsid w:val="00A73FEA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dcterms:created xsi:type="dcterms:W3CDTF">2015-04-08T14:50:00Z</dcterms:created>
  <dcterms:modified xsi:type="dcterms:W3CDTF">2015-04-08T14:50:00Z</dcterms:modified>
</cp:coreProperties>
</file>