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4C" w:rsidRPr="006A6D4C" w:rsidRDefault="006A6D4C" w:rsidP="006A6D4C">
      <w:pPr>
        <w:spacing w:after="0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Colonial </w:t>
      </w:r>
      <w:r w:rsidRPr="006A6D4C">
        <w:rPr>
          <w:rFonts w:ascii="Garamond" w:hAnsi="Garamond"/>
          <w:b/>
          <w:sz w:val="48"/>
          <w:szCs w:val="48"/>
        </w:rPr>
        <w:t>Laws</w:t>
      </w:r>
      <w:r>
        <w:rPr>
          <w:rFonts w:ascii="Garamond" w:hAnsi="Garamond"/>
          <w:b/>
          <w:sz w:val="48"/>
          <w:szCs w:val="48"/>
        </w:rPr>
        <w:t xml:space="preserve"> </w:t>
      </w:r>
      <w:r w:rsidRPr="006A6D4C">
        <w:rPr>
          <w:rFonts w:ascii="Garamond" w:hAnsi="Garamond"/>
          <w:b/>
          <w:sz w:val="48"/>
          <w:szCs w:val="48"/>
        </w:rPr>
        <w:t>on Race and Slavery</w:t>
      </w:r>
      <w:r>
        <w:rPr>
          <w:rFonts w:ascii="Garamond" w:hAnsi="Garamond"/>
          <w:b/>
          <w:sz w:val="48"/>
          <w:szCs w:val="48"/>
        </w:rPr>
        <w:t xml:space="preserve"> in the Chesapeake</w:t>
      </w:r>
    </w:p>
    <w:p w:rsidR="006A6D4C" w:rsidRPr="006A6D4C" w:rsidRDefault="006A6D4C" w:rsidP="006A6D4C">
      <w:pPr>
        <w:spacing w:after="0"/>
        <w:rPr>
          <w:rFonts w:ascii="Garamond" w:hAnsi="Garamond"/>
        </w:rPr>
      </w:pPr>
    </w:p>
    <w:p w:rsidR="006A6D4C" w:rsidRPr="006A6D4C" w:rsidRDefault="006A6D4C" w:rsidP="006A6D4C">
      <w:pPr>
        <w:spacing w:after="0"/>
        <w:rPr>
          <w:rFonts w:ascii="Garamond" w:hAnsi="Garamond"/>
          <w:b/>
          <w:u w:val="single"/>
        </w:rPr>
      </w:pPr>
      <w:r w:rsidRPr="006A6D4C">
        <w:rPr>
          <w:rFonts w:ascii="Garamond" w:hAnsi="Garamond"/>
          <w:b/>
          <w:u w:val="single"/>
        </w:rPr>
        <w:t>Virginia, 1639</w:t>
      </w:r>
    </w:p>
    <w:p w:rsidR="006A6D4C" w:rsidRDefault="006A6D4C" w:rsidP="006A6D4C">
      <w:pPr>
        <w:spacing w:after="0"/>
        <w:rPr>
          <w:rFonts w:ascii="Garamond" w:hAnsi="Garamond"/>
        </w:rPr>
      </w:pPr>
      <w:r w:rsidRPr="006A6D4C">
        <w:rPr>
          <w:rFonts w:ascii="Garamond" w:hAnsi="Garamond"/>
        </w:rPr>
        <w:br/>
        <w:t>Act X. All persons except Negroes are to be provided with arms and ammunitions or be fined at the pleasure of the governo</w:t>
      </w:r>
      <w:r>
        <w:rPr>
          <w:rFonts w:ascii="Garamond" w:hAnsi="Garamond"/>
        </w:rPr>
        <w:t xml:space="preserve">r and council. 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Pr="006A6D4C">
        <w:rPr>
          <w:rFonts w:ascii="Garamond" w:hAnsi="Garamond"/>
          <w:b/>
          <w:u w:val="single"/>
        </w:rPr>
        <w:t>Maryland, 1664</w:t>
      </w:r>
    </w:p>
    <w:p w:rsidR="006A6D4C" w:rsidRDefault="006A6D4C" w:rsidP="006A6D4C">
      <w:pPr>
        <w:spacing w:after="0"/>
        <w:rPr>
          <w:rFonts w:ascii="Garamond" w:hAnsi="Garamond"/>
        </w:rPr>
      </w:pPr>
      <w:r w:rsidRPr="006A6D4C">
        <w:rPr>
          <w:rFonts w:ascii="Garamond" w:hAnsi="Garamond"/>
        </w:rPr>
        <w:br/>
        <w:t xml:space="preserve">That whatsoever free-born [English] woman shall intermarry with any </w:t>
      </w:r>
      <w:proofErr w:type="gramStart"/>
      <w:r w:rsidRPr="006A6D4C">
        <w:rPr>
          <w:rFonts w:ascii="Garamond" w:hAnsi="Garamond"/>
        </w:rPr>
        <w:t>slave.</w:t>
      </w:r>
      <w:proofErr w:type="gramEnd"/>
      <w:r w:rsidRPr="006A6D4C">
        <w:rPr>
          <w:rFonts w:ascii="Garamond" w:hAnsi="Garamond"/>
        </w:rPr>
        <w:t xml:space="preserve"> . . shall serve the master of such slave during the life of her husband; and that all the issue of such free-born women, so married shall be slaves as their</w:t>
      </w:r>
      <w:r>
        <w:rPr>
          <w:rFonts w:ascii="Garamond" w:hAnsi="Garamond"/>
        </w:rPr>
        <w:t xml:space="preserve"> fathers were. 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Pr="006A6D4C">
        <w:rPr>
          <w:rFonts w:ascii="Garamond" w:hAnsi="Garamond"/>
          <w:b/>
          <w:u w:val="single"/>
        </w:rPr>
        <w:t>Virginia, 1667</w:t>
      </w:r>
    </w:p>
    <w:p w:rsidR="006A6D4C" w:rsidRDefault="006A6D4C" w:rsidP="006A6D4C">
      <w:pPr>
        <w:spacing w:after="0"/>
        <w:rPr>
          <w:rFonts w:ascii="Garamond" w:hAnsi="Garamond"/>
        </w:rPr>
      </w:pPr>
      <w:r w:rsidRPr="006A6D4C">
        <w:rPr>
          <w:rFonts w:ascii="Garamond" w:hAnsi="Garamond"/>
        </w:rPr>
        <w:br/>
        <w:t>Act III. Whereas some doubts have arisen whether children that are slaves by birth. . . should by virtue of their baptism be made free, it is enacted that baptism does not alter the condition to the person as to his bondage or freedom; masters freed from this doubt may more carefully propagate Christianity by permitting slaves to be admitted to t</w:t>
      </w:r>
      <w:r>
        <w:rPr>
          <w:rFonts w:ascii="Garamond" w:hAnsi="Garamond"/>
        </w:rPr>
        <w:t xml:space="preserve">hat sacrament. 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Pr="006A6D4C">
        <w:rPr>
          <w:rFonts w:ascii="Garamond" w:hAnsi="Garamond"/>
          <w:b/>
          <w:u w:val="single"/>
        </w:rPr>
        <w:t>Virginia, 1682</w:t>
      </w:r>
    </w:p>
    <w:p w:rsidR="006A6D4C" w:rsidRDefault="006A6D4C" w:rsidP="006A6D4C">
      <w:pPr>
        <w:spacing w:after="0"/>
        <w:rPr>
          <w:rFonts w:ascii="Garamond" w:hAnsi="Garamond"/>
        </w:rPr>
      </w:pPr>
      <w:r w:rsidRPr="006A6D4C">
        <w:rPr>
          <w:rFonts w:ascii="Garamond" w:hAnsi="Garamond"/>
        </w:rPr>
        <w:br/>
        <w:t xml:space="preserve">Act </w:t>
      </w:r>
      <w:proofErr w:type="gramStart"/>
      <w:r w:rsidRPr="006A6D4C">
        <w:rPr>
          <w:rFonts w:ascii="Garamond" w:hAnsi="Garamond"/>
        </w:rPr>
        <w:t>I</w:t>
      </w:r>
      <w:proofErr w:type="gramEnd"/>
      <w:r w:rsidRPr="006A6D4C">
        <w:rPr>
          <w:rFonts w:ascii="Garamond" w:hAnsi="Garamond"/>
        </w:rPr>
        <w:t xml:space="preserve">. It is enacted that all servants. . . which [sic] shall be imported into this country either by sea or by land, whether Negroes, Moors [Muslim North Africans], mulattoes or Indians who and whose parentage and native countries are not Christian at the time of their first purchase by some Christian. . . and all Indians, which shall be sold by our </w:t>
      </w:r>
      <w:proofErr w:type="spellStart"/>
      <w:r w:rsidRPr="006A6D4C">
        <w:rPr>
          <w:rFonts w:ascii="Garamond" w:hAnsi="Garamond"/>
        </w:rPr>
        <w:t>neighborign</w:t>
      </w:r>
      <w:proofErr w:type="spellEnd"/>
      <w:r w:rsidRPr="006A6D4C">
        <w:rPr>
          <w:rFonts w:ascii="Garamond" w:hAnsi="Garamond"/>
        </w:rPr>
        <w:t xml:space="preserve"> Indians, or any other </w:t>
      </w:r>
      <w:proofErr w:type="spellStart"/>
      <w:r w:rsidRPr="006A6D4C">
        <w:rPr>
          <w:rFonts w:ascii="Garamond" w:hAnsi="Garamond"/>
        </w:rPr>
        <w:t>trafficing</w:t>
      </w:r>
      <w:proofErr w:type="spellEnd"/>
      <w:r w:rsidRPr="006A6D4C">
        <w:rPr>
          <w:rFonts w:ascii="Garamond" w:hAnsi="Garamond"/>
        </w:rPr>
        <w:t xml:space="preserve"> with us for slaves, are hereby adjudged, deemed and taken to be slaves to all intents and purposes any law, usage, or custom to the contrary notwithstanding. </w:t>
      </w:r>
      <w:r w:rsidRPr="006A6D4C">
        <w:rPr>
          <w:rFonts w:ascii="Garamond" w:hAnsi="Garamond"/>
        </w:rPr>
        <w:br/>
      </w:r>
    </w:p>
    <w:p w:rsidR="006A6D4C" w:rsidRDefault="006A6D4C" w:rsidP="006A6D4C">
      <w:pPr>
        <w:spacing w:after="0"/>
        <w:rPr>
          <w:rFonts w:ascii="Garamond" w:hAnsi="Garamond"/>
        </w:rPr>
      </w:pPr>
    </w:p>
    <w:p w:rsidR="006A6D4C" w:rsidRPr="006A6D4C" w:rsidRDefault="006A6D4C" w:rsidP="006A6D4C">
      <w:pPr>
        <w:spacing w:after="0"/>
        <w:rPr>
          <w:rFonts w:ascii="Garamond" w:hAnsi="Garamond"/>
        </w:rPr>
      </w:pPr>
    </w:p>
    <w:p w:rsidR="006A6D4C" w:rsidRPr="006A6D4C" w:rsidRDefault="006A6D4C" w:rsidP="006A6D4C">
      <w:pPr>
        <w:spacing w:after="0"/>
        <w:jc w:val="right"/>
        <w:rPr>
          <w:rFonts w:ascii="Garamond" w:hAnsi="Garamond"/>
          <w:b/>
          <w:u w:val="single"/>
        </w:rPr>
      </w:pPr>
      <w:r w:rsidRPr="006A6D4C">
        <w:rPr>
          <w:rFonts w:ascii="Garamond" w:hAnsi="Garamond"/>
          <w:b/>
          <w:u w:val="single"/>
        </w:rPr>
        <w:t>Sources:</w:t>
      </w:r>
    </w:p>
    <w:p w:rsidR="006A6D4C" w:rsidRDefault="006A6D4C" w:rsidP="006A6D4C">
      <w:pPr>
        <w:spacing w:after="0"/>
        <w:jc w:val="right"/>
        <w:rPr>
          <w:rFonts w:ascii="Garamond" w:hAnsi="Garamond" w:cs="Helvetica"/>
          <w:i/>
          <w:iCs/>
          <w:sz w:val="20"/>
          <w:szCs w:val="20"/>
        </w:rPr>
      </w:pPr>
    </w:p>
    <w:p w:rsidR="006A6D4C" w:rsidRDefault="006A6D4C" w:rsidP="006A6D4C">
      <w:pPr>
        <w:spacing w:after="0"/>
        <w:jc w:val="right"/>
        <w:rPr>
          <w:rFonts w:ascii="Garamond" w:hAnsi="Garamond" w:cs="Helvetica"/>
          <w:i/>
          <w:iCs/>
          <w:sz w:val="20"/>
          <w:szCs w:val="20"/>
        </w:rPr>
      </w:pPr>
      <w:r w:rsidRPr="006A6D4C">
        <w:rPr>
          <w:rFonts w:ascii="Garamond" w:hAnsi="Garamond" w:cs="Helvetica"/>
          <w:i/>
          <w:iCs/>
          <w:sz w:val="20"/>
          <w:szCs w:val="20"/>
        </w:rPr>
        <w:t>Black Laws of Virginia</w:t>
      </w:r>
      <w:r w:rsidRPr="006A6D4C">
        <w:rPr>
          <w:rFonts w:ascii="Garamond" w:hAnsi="Garamond" w:cs="Helvetica"/>
          <w:i/>
          <w:iCs/>
          <w:sz w:val="20"/>
          <w:szCs w:val="20"/>
        </w:rPr>
        <w:br/>
        <w:t>Negro Universities Press</w:t>
      </w:r>
      <w:r w:rsidRPr="006A6D4C">
        <w:rPr>
          <w:rFonts w:ascii="Garamond" w:hAnsi="Garamond" w:cs="Helvetica"/>
          <w:sz w:val="20"/>
          <w:szCs w:val="20"/>
        </w:rPr>
        <w:t>, 1969</w:t>
      </w:r>
      <w:r w:rsidRPr="006A6D4C">
        <w:rPr>
          <w:rFonts w:ascii="Garamond" w:hAnsi="Garamond" w:cs="Helvetica"/>
          <w:sz w:val="20"/>
          <w:szCs w:val="20"/>
        </w:rPr>
        <w:br/>
        <w:t>Greenwood Publishing Group</w:t>
      </w:r>
      <w:r w:rsidRPr="006A6D4C">
        <w:rPr>
          <w:rFonts w:ascii="Garamond" w:hAnsi="Garamond" w:cs="Helvetica"/>
          <w:sz w:val="20"/>
          <w:szCs w:val="20"/>
        </w:rPr>
        <w:br/>
      </w:r>
      <w:r w:rsidRPr="006A6D4C">
        <w:rPr>
          <w:rFonts w:ascii="Garamond" w:hAnsi="Garamond" w:cs="Helvetica"/>
          <w:sz w:val="20"/>
          <w:szCs w:val="20"/>
        </w:rPr>
        <w:br/>
      </w:r>
      <w:proofErr w:type="gramStart"/>
      <w:r w:rsidRPr="006A6D4C">
        <w:rPr>
          <w:rFonts w:ascii="Garamond" w:hAnsi="Garamond" w:cs="Helvetica"/>
          <w:i/>
          <w:iCs/>
          <w:sz w:val="20"/>
          <w:szCs w:val="20"/>
        </w:rPr>
        <w:t>Before</w:t>
      </w:r>
      <w:proofErr w:type="gramEnd"/>
      <w:r w:rsidRPr="006A6D4C">
        <w:rPr>
          <w:rFonts w:ascii="Garamond" w:hAnsi="Garamond" w:cs="Helvetica"/>
          <w:i/>
          <w:iCs/>
          <w:sz w:val="20"/>
          <w:szCs w:val="20"/>
        </w:rPr>
        <w:t xml:space="preserve"> the Mayflower: A History of Black America</w:t>
      </w:r>
    </w:p>
    <w:p w:rsidR="008907A4" w:rsidRPr="006A6D4C" w:rsidRDefault="006A6D4C" w:rsidP="006A6D4C">
      <w:pPr>
        <w:spacing w:after="0"/>
        <w:jc w:val="right"/>
        <w:rPr>
          <w:rFonts w:ascii="Garamond" w:hAnsi="Garamond"/>
        </w:rPr>
      </w:pPr>
      <w:r w:rsidRPr="006A6D4C">
        <w:rPr>
          <w:rFonts w:ascii="Garamond" w:hAnsi="Garamond" w:cs="Helvetica"/>
          <w:i/>
          <w:iCs/>
          <w:sz w:val="20"/>
          <w:szCs w:val="20"/>
        </w:rPr>
        <w:t>Penguin Books</w:t>
      </w:r>
      <w:r w:rsidRPr="006A6D4C">
        <w:rPr>
          <w:rFonts w:ascii="Garamond" w:hAnsi="Garamond" w:cs="Helvetica"/>
          <w:sz w:val="20"/>
          <w:szCs w:val="20"/>
        </w:rPr>
        <w:t>, 1983</w:t>
      </w:r>
    </w:p>
    <w:sectPr w:rsidR="008907A4" w:rsidRPr="006A6D4C" w:rsidSect="004E7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A6D4C"/>
    <w:rsid w:val="004E773D"/>
    <w:rsid w:val="005141C8"/>
    <w:rsid w:val="006A6D4C"/>
    <w:rsid w:val="00B8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hhsrm179</dc:creator>
  <cp:keywords/>
  <dc:description/>
  <cp:lastModifiedBy>hhsrm179</cp:lastModifiedBy>
  <cp:revision>2</cp:revision>
  <dcterms:created xsi:type="dcterms:W3CDTF">2014-05-27T18:57:00Z</dcterms:created>
  <dcterms:modified xsi:type="dcterms:W3CDTF">2014-05-27T18:59:00Z</dcterms:modified>
</cp:coreProperties>
</file>